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2FD" w:rsidRPr="00EA6BFA" w:rsidRDefault="00EA6BFA" w:rsidP="00E032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изменения происходят во внешней торговле Удмуртии?</w:t>
      </w:r>
    </w:p>
    <w:p w:rsidR="00F1495C" w:rsidRDefault="00EA2CE3" w:rsidP="00E03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1495C">
        <w:rPr>
          <w:rFonts w:ascii="Times New Roman" w:hAnsi="Times New Roman" w:cs="Times New Roman"/>
          <w:sz w:val="28"/>
          <w:szCs w:val="28"/>
        </w:rPr>
        <w:t>орговый оборот организаций Удмуртии</w:t>
      </w:r>
      <w:r>
        <w:rPr>
          <w:rFonts w:ascii="Times New Roman" w:hAnsi="Times New Roman" w:cs="Times New Roman"/>
          <w:sz w:val="28"/>
          <w:szCs w:val="28"/>
        </w:rPr>
        <w:t xml:space="preserve"> с зарубежными партнерами</w:t>
      </w:r>
      <w:r w:rsidR="00F14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январь-сентябрь 2018 года </w:t>
      </w:r>
      <w:r w:rsidR="00F1495C">
        <w:rPr>
          <w:rFonts w:ascii="Times New Roman" w:hAnsi="Times New Roman" w:cs="Times New Roman"/>
          <w:sz w:val="28"/>
          <w:szCs w:val="28"/>
        </w:rPr>
        <w:t>составил 505 млн. долларо</w:t>
      </w:r>
      <w:r w:rsidR="00C45268">
        <w:rPr>
          <w:rFonts w:ascii="Times New Roman" w:hAnsi="Times New Roman" w:cs="Times New Roman"/>
          <w:sz w:val="28"/>
          <w:szCs w:val="28"/>
        </w:rPr>
        <w:t>в США –</w:t>
      </w:r>
      <w:r w:rsidR="00F1495C">
        <w:rPr>
          <w:rFonts w:ascii="Times New Roman" w:hAnsi="Times New Roman" w:cs="Times New Roman"/>
          <w:sz w:val="28"/>
          <w:szCs w:val="28"/>
        </w:rPr>
        <w:t xml:space="preserve"> это на 13% </w:t>
      </w:r>
      <w:r w:rsidR="00185987">
        <w:rPr>
          <w:rFonts w:ascii="Times New Roman" w:hAnsi="Times New Roman" w:cs="Times New Roman"/>
          <w:sz w:val="28"/>
          <w:szCs w:val="28"/>
        </w:rPr>
        <w:t>больше</w:t>
      </w:r>
      <w:r w:rsidR="00F1495C">
        <w:rPr>
          <w:rFonts w:ascii="Times New Roman" w:hAnsi="Times New Roman" w:cs="Times New Roman"/>
          <w:sz w:val="28"/>
          <w:szCs w:val="28"/>
        </w:rPr>
        <w:t>, чем в</w:t>
      </w:r>
      <w:r w:rsidR="00185987">
        <w:rPr>
          <w:rFonts w:ascii="Times New Roman" w:hAnsi="Times New Roman" w:cs="Times New Roman"/>
          <w:sz w:val="28"/>
          <w:szCs w:val="28"/>
        </w:rPr>
        <w:t xml:space="preserve"> январе-сентябре</w:t>
      </w:r>
      <w:r w:rsidR="00F1495C">
        <w:rPr>
          <w:rFonts w:ascii="Times New Roman" w:hAnsi="Times New Roman" w:cs="Times New Roman"/>
          <w:sz w:val="28"/>
          <w:szCs w:val="28"/>
        </w:rPr>
        <w:t xml:space="preserve"> </w:t>
      </w:r>
      <w:r w:rsidR="007953D6">
        <w:rPr>
          <w:rFonts w:ascii="Times New Roman" w:hAnsi="Times New Roman" w:cs="Times New Roman"/>
          <w:sz w:val="28"/>
          <w:szCs w:val="28"/>
        </w:rPr>
        <w:t>2017 </w:t>
      </w:r>
      <w:r w:rsidR="00F1495C">
        <w:rPr>
          <w:rFonts w:ascii="Times New Roman" w:hAnsi="Times New Roman" w:cs="Times New Roman"/>
          <w:sz w:val="28"/>
          <w:szCs w:val="28"/>
        </w:rPr>
        <w:t>год</w:t>
      </w:r>
      <w:r w:rsidR="00185987">
        <w:rPr>
          <w:rFonts w:ascii="Times New Roman" w:hAnsi="Times New Roman" w:cs="Times New Roman"/>
          <w:sz w:val="28"/>
          <w:szCs w:val="28"/>
        </w:rPr>
        <w:t>а</w:t>
      </w:r>
      <w:r w:rsidR="00F1495C">
        <w:rPr>
          <w:rFonts w:ascii="Times New Roman" w:hAnsi="Times New Roman" w:cs="Times New Roman"/>
          <w:sz w:val="28"/>
          <w:szCs w:val="28"/>
        </w:rPr>
        <w:t>.</w:t>
      </w:r>
    </w:p>
    <w:p w:rsidR="007953D6" w:rsidRDefault="00185987" w:rsidP="00E03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71135A">
        <w:rPr>
          <w:rFonts w:ascii="Times New Roman" w:hAnsi="Times New Roman" w:cs="Times New Roman"/>
          <w:sz w:val="28"/>
          <w:szCs w:val="28"/>
        </w:rPr>
        <w:t>экспорт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135A">
        <w:rPr>
          <w:rFonts w:ascii="Times New Roman" w:hAnsi="Times New Roman" w:cs="Times New Roman"/>
          <w:sz w:val="28"/>
          <w:szCs w:val="28"/>
        </w:rPr>
        <w:t xml:space="preserve"> снизился на 10% по сравнению с аналогичным периодом 2017 года и составил 224 млн. долларов.</w:t>
      </w:r>
      <w:r>
        <w:rPr>
          <w:rFonts w:ascii="Times New Roman" w:hAnsi="Times New Roman" w:cs="Times New Roman"/>
          <w:sz w:val="28"/>
          <w:szCs w:val="28"/>
        </w:rPr>
        <w:t xml:space="preserve"> Значительно изменилась товарная структура</w:t>
      </w:r>
      <w:r w:rsidR="007953D6" w:rsidRPr="0071135A">
        <w:rPr>
          <w:rFonts w:ascii="Times New Roman" w:hAnsi="Times New Roman" w:cs="Times New Roman"/>
          <w:sz w:val="28"/>
          <w:szCs w:val="28"/>
        </w:rPr>
        <w:t xml:space="preserve"> экспорта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7953D6" w:rsidRPr="0071135A">
        <w:rPr>
          <w:rFonts w:ascii="Times New Roman" w:hAnsi="Times New Roman" w:cs="Times New Roman"/>
          <w:sz w:val="28"/>
          <w:szCs w:val="28"/>
        </w:rPr>
        <w:t xml:space="preserve"> доля топливно-энергетических товаров сократилась почти в 6 раз. Одновременно растет </w:t>
      </w:r>
      <w:r w:rsidR="007953D6">
        <w:rPr>
          <w:rFonts w:ascii="Times New Roman" w:hAnsi="Times New Roman" w:cs="Times New Roman"/>
          <w:sz w:val="28"/>
          <w:szCs w:val="28"/>
        </w:rPr>
        <w:t>удельный вес</w:t>
      </w:r>
      <w:r w:rsidR="007953D6" w:rsidRPr="0071135A">
        <w:rPr>
          <w:rFonts w:ascii="Times New Roman" w:hAnsi="Times New Roman" w:cs="Times New Roman"/>
          <w:sz w:val="28"/>
          <w:szCs w:val="28"/>
        </w:rPr>
        <w:t xml:space="preserve"> продукции неэнергетического характера</w:t>
      </w:r>
      <w:r w:rsidR="007953D6">
        <w:rPr>
          <w:rFonts w:ascii="Times New Roman" w:hAnsi="Times New Roman" w:cs="Times New Roman"/>
          <w:sz w:val="28"/>
          <w:szCs w:val="28"/>
        </w:rPr>
        <w:t>:</w:t>
      </w:r>
      <w:r w:rsidR="00E03290">
        <w:rPr>
          <w:rFonts w:ascii="Times New Roman" w:hAnsi="Times New Roman" w:cs="Times New Roman"/>
          <w:sz w:val="28"/>
          <w:szCs w:val="28"/>
        </w:rPr>
        <w:t xml:space="preserve"> более чем в </w:t>
      </w:r>
      <w:r w:rsidR="00E03290" w:rsidRPr="00E03290">
        <w:rPr>
          <w:rFonts w:ascii="Times New Roman" w:hAnsi="Times New Roman" w:cs="Times New Roman"/>
          <w:sz w:val="28"/>
          <w:szCs w:val="28"/>
        </w:rPr>
        <w:t>2</w:t>
      </w:r>
      <w:r w:rsidR="007953D6" w:rsidRPr="0071135A">
        <w:rPr>
          <w:rFonts w:ascii="Times New Roman" w:hAnsi="Times New Roman" w:cs="Times New Roman"/>
          <w:sz w:val="28"/>
          <w:szCs w:val="28"/>
        </w:rPr>
        <w:t xml:space="preserve"> раза увеличилась </w:t>
      </w:r>
      <w:r w:rsidR="007953D6">
        <w:rPr>
          <w:rFonts w:ascii="Times New Roman" w:hAnsi="Times New Roman" w:cs="Times New Roman"/>
          <w:sz w:val="28"/>
          <w:szCs w:val="28"/>
        </w:rPr>
        <w:t>доля</w:t>
      </w:r>
      <w:r w:rsidR="007953D6" w:rsidRPr="0071135A">
        <w:rPr>
          <w:rFonts w:ascii="Times New Roman" w:hAnsi="Times New Roman" w:cs="Times New Roman"/>
          <w:sz w:val="28"/>
          <w:szCs w:val="28"/>
        </w:rPr>
        <w:t xml:space="preserve"> экспортированных металлов и металлических изделий, в 1,6 раза – машин и оборудования.</w:t>
      </w:r>
    </w:p>
    <w:p w:rsidR="00E03290" w:rsidRDefault="00E03290" w:rsidP="00E032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96"/>
        <w:gridCol w:w="3775"/>
      </w:tblGrid>
      <w:tr w:rsidR="00CB2436" w:rsidTr="00A94B13">
        <w:trPr>
          <w:trHeight w:val="686"/>
        </w:trPr>
        <w:tc>
          <w:tcPr>
            <w:tcW w:w="5796" w:type="dxa"/>
          </w:tcPr>
          <w:p w:rsidR="00CB2436" w:rsidRPr="00F1495C" w:rsidRDefault="00DA0F56">
            <w:pPr>
              <w:rPr>
                <w:rFonts w:ascii="Monotype Corsiva" w:hAnsi="Monotype Corsiva"/>
                <w:b/>
                <w:sz w:val="36"/>
                <w:szCs w:val="36"/>
              </w:rPr>
            </w:pPr>
            <w:r>
              <w:rPr>
                <w:rFonts w:ascii="Monotype Corsiva" w:hAnsi="Monotype Corsiva"/>
                <w:b/>
                <w:sz w:val="36"/>
                <w:szCs w:val="36"/>
              </w:rPr>
              <w:t>С</w:t>
            </w:r>
            <w:r w:rsidR="007B07B2" w:rsidRPr="00F1495C">
              <w:rPr>
                <w:rFonts w:ascii="Monotype Corsiva" w:hAnsi="Monotype Corsiva"/>
                <w:b/>
                <w:sz w:val="36"/>
                <w:szCs w:val="36"/>
              </w:rPr>
              <w:t>труктура экспорта</w:t>
            </w:r>
            <w:proofErr w:type="gramStart"/>
            <w:r w:rsidR="0071135A">
              <w:rPr>
                <w:rFonts w:ascii="Monotype Corsiva" w:hAnsi="Monotype Corsiva"/>
                <w:b/>
                <w:sz w:val="36"/>
                <w:szCs w:val="36"/>
              </w:rPr>
              <w:t xml:space="preserve"> (%)</w:t>
            </w:r>
            <w:proofErr w:type="gramEnd"/>
          </w:p>
        </w:tc>
        <w:tc>
          <w:tcPr>
            <w:tcW w:w="3775" w:type="dxa"/>
          </w:tcPr>
          <w:p w:rsidR="00CB2436" w:rsidRPr="007B07B2" w:rsidRDefault="00DA0F56">
            <w:pPr>
              <w:rPr>
                <w:sz w:val="36"/>
                <w:szCs w:val="36"/>
              </w:rPr>
            </w:pPr>
            <w:r>
              <w:rPr>
                <w:rFonts w:ascii="Monotype Corsiva" w:hAnsi="Monotype Corsiva"/>
                <w:b/>
                <w:sz w:val="36"/>
                <w:szCs w:val="36"/>
              </w:rPr>
              <w:t>С</w:t>
            </w:r>
            <w:r w:rsidR="007B07B2" w:rsidRPr="00F1495C">
              <w:rPr>
                <w:rFonts w:ascii="Monotype Corsiva" w:hAnsi="Monotype Corsiva"/>
                <w:b/>
                <w:sz w:val="36"/>
                <w:szCs w:val="36"/>
              </w:rPr>
              <w:t>труктура импорта</w:t>
            </w:r>
            <w:proofErr w:type="gramStart"/>
            <w:r w:rsidR="0071135A">
              <w:rPr>
                <w:rFonts w:ascii="Monotype Corsiva" w:hAnsi="Monotype Corsiva"/>
                <w:b/>
                <w:sz w:val="36"/>
                <w:szCs w:val="36"/>
              </w:rPr>
              <w:t xml:space="preserve"> (%)</w:t>
            </w:r>
            <w:proofErr w:type="gramEnd"/>
          </w:p>
        </w:tc>
      </w:tr>
      <w:tr w:rsidR="00CB2436" w:rsidTr="00A94B13">
        <w:trPr>
          <w:trHeight w:val="3828"/>
        </w:trPr>
        <w:tc>
          <w:tcPr>
            <w:tcW w:w="5796" w:type="dxa"/>
          </w:tcPr>
          <w:p w:rsidR="00CB2436" w:rsidRDefault="00CB2436">
            <w:pPr>
              <w:rPr>
                <w:lang w:val="en-US"/>
              </w:rPr>
            </w:pPr>
            <w:r w:rsidRPr="00CB2436">
              <w:rPr>
                <w:noProof/>
              </w:rPr>
              <w:drawing>
                <wp:inline distT="0" distB="0" distL="0" distR="0">
                  <wp:extent cx="3505200" cy="2886075"/>
                  <wp:effectExtent l="38100" t="0" r="0" b="0"/>
                  <wp:docPr id="6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  <w:tc>
          <w:tcPr>
            <w:tcW w:w="3775" w:type="dxa"/>
          </w:tcPr>
          <w:p w:rsidR="00CB2436" w:rsidRDefault="00DC72BF">
            <w:pPr>
              <w:rPr>
                <w:lang w:val="en-US"/>
              </w:rPr>
            </w:pPr>
            <w:r w:rsidRPr="00DC72BF">
              <w:rPr>
                <w:noProof/>
              </w:rPr>
              <w:drawing>
                <wp:inline distT="0" distB="0" distL="0" distR="0">
                  <wp:extent cx="2200275" cy="2495550"/>
                  <wp:effectExtent l="38100" t="0" r="0" b="0"/>
                  <wp:docPr id="7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</w:tbl>
    <w:p w:rsidR="007953D6" w:rsidRDefault="007953D6" w:rsidP="00E03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401">
        <w:rPr>
          <w:rFonts w:ascii="Times New Roman" w:hAnsi="Times New Roman" w:cs="Times New Roman"/>
          <w:sz w:val="28"/>
          <w:szCs w:val="28"/>
        </w:rPr>
        <w:t>Импорт увеличился в 1,4 раза, достигнув значения 281 млн. долларов.</w:t>
      </w:r>
      <w:r>
        <w:rPr>
          <w:rFonts w:ascii="Times New Roman" w:hAnsi="Times New Roman" w:cs="Times New Roman"/>
          <w:sz w:val="28"/>
          <w:szCs w:val="28"/>
        </w:rPr>
        <w:t xml:space="preserve"> В структуре импорта существенных изменений не произошло: максимальная  доля</w:t>
      </w:r>
      <w:r w:rsidRPr="00F44F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(65% от общего объема импорта), как и в предыдущем году, пришлась на импорт машин и оборудования.</w:t>
      </w:r>
    </w:p>
    <w:p w:rsidR="00214868" w:rsidRPr="00DE228C" w:rsidRDefault="00214868" w:rsidP="00E03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8C">
        <w:rPr>
          <w:rFonts w:ascii="Times New Roman" w:hAnsi="Times New Roman" w:cs="Times New Roman"/>
          <w:sz w:val="28"/>
          <w:szCs w:val="28"/>
        </w:rPr>
        <w:t xml:space="preserve">Сокращение объемов экспорта нефти и нефтепродуктов, а также рост стоимости продукции, ввезенной в республику из-за рубежа, привели к тому, что </w:t>
      </w:r>
      <w:r w:rsidRPr="00B65401">
        <w:rPr>
          <w:rFonts w:ascii="Times New Roman" w:hAnsi="Times New Roman" w:cs="Times New Roman"/>
          <w:sz w:val="28"/>
          <w:szCs w:val="28"/>
        </w:rPr>
        <w:t>сальдо внешнеторгового оборота</w:t>
      </w:r>
      <w:r w:rsidRPr="00DE22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E228C">
        <w:rPr>
          <w:rFonts w:ascii="Times New Roman" w:hAnsi="Times New Roman" w:cs="Times New Roman"/>
          <w:sz w:val="28"/>
          <w:szCs w:val="28"/>
        </w:rPr>
        <w:t>(разница между экспортом и импортом)</w:t>
      </w:r>
      <w:r w:rsidRPr="00DE22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65401">
        <w:rPr>
          <w:rFonts w:ascii="Times New Roman" w:hAnsi="Times New Roman" w:cs="Times New Roman"/>
          <w:sz w:val="28"/>
          <w:szCs w:val="28"/>
        </w:rPr>
        <w:t>приняло отрицательное значение (-</w:t>
      </w:r>
      <w:r w:rsidR="007953D6" w:rsidRPr="00B65401">
        <w:rPr>
          <w:rFonts w:ascii="Times New Roman" w:hAnsi="Times New Roman" w:cs="Times New Roman"/>
          <w:sz w:val="28"/>
          <w:szCs w:val="28"/>
        </w:rPr>
        <w:t>57</w:t>
      </w:r>
      <w:r w:rsidRPr="00B65401">
        <w:rPr>
          <w:rFonts w:ascii="Times New Roman" w:hAnsi="Times New Roman" w:cs="Times New Roman"/>
          <w:sz w:val="28"/>
          <w:szCs w:val="28"/>
        </w:rPr>
        <w:t xml:space="preserve"> млн. долларов США).</w:t>
      </w:r>
      <w:r w:rsidR="007953D6" w:rsidRPr="007953D6">
        <w:rPr>
          <w:rFonts w:ascii="Times New Roman" w:hAnsi="Times New Roman" w:cs="Times New Roman"/>
          <w:sz w:val="28"/>
          <w:szCs w:val="28"/>
        </w:rPr>
        <w:t xml:space="preserve"> </w:t>
      </w:r>
      <w:r w:rsidR="007953D6">
        <w:rPr>
          <w:rFonts w:ascii="Times New Roman" w:hAnsi="Times New Roman" w:cs="Times New Roman"/>
          <w:sz w:val="28"/>
          <w:szCs w:val="28"/>
        </w:rPr>
        <w:t xml:space="preserve">Доля экспорта во внешнеторговом обороте составила 44,3%, снизившись по сравнению с аналогичным периодом предыдущего года на 11,3 </w:t>
      </w:r>
      <w:proofErr w:type="gramStart"/>
      <w:r w:rsidR="007953D6">
        <w:rPr>
          <w:rFonts w:ascii="Times New Roman" w:hAnsi="Times New Roman" w:cs="Times New Roman"/>
          <w:sz w:val="28"/>
          <w:szCs w:val="28"/>
        </w:rPr>
        <w:t>процентных</w:t>
      </w:r>
      <w:proofErr w:type="gramEnd"/>
      <w:r w:rsidR="007953D6">
        <w:rPr>
          <w:rFonts w:ascii="Times New Roman" w:hAnsi="Times New Roman" w:cs="Times New Roman"/>
          <w:sz w:val="28"/>
          <w:szCs w:val="28"/>
        </w:rPr>
        <w:t xml:space="preserve"> пункта.</w:t>
      </w:r>
    </w:p>
    <w:p w:rsidR="008422FD" w:rsidRPr="00A94B13" w:rsidRDefault="008422FD"/>
    <w:sectPr w:rsidR="008422FD" w:rsidRPr="00A94B13" w:rsidSect="00875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22FD"/>
    <w:rsid w:val="00017ED0"/>
    <w:rsid w:val="00185987"/>
    <w:rsid w:val="001A622D"/>
    <w:rsid w:val="00214868"/>
    <w:rsid w:val="00294727"/>
    <w:rsid w:val="003030F1"/>
    <w:rsid w:val="00383667"/>
    <w:rsid w:val="003F6B2F"/>
    <w:rsid w:val="00456F6D"/>
    <w:rsid w:val="00501C38"/>
    <w:rsid w:val="005819EE"/>
    <w:rsid w:val="005D71F8"/>
    <w:rsid w:val="006159D8"/>
    <w:rsid w:val="00623F50"/>
    <w:rsid w:val="0070382F"/>
    <w:rsid w:val="0071135A"/>
    <w:rsid w:val="00763BED"/>
    <w:rsid w:val="007953D6"/>
    <w:rsid w:val="007B07B2"/>
    <w:rsid w:val="007C3E82"/>
    <w:rsid w:val="007D75D8"/>
    <w:rsid w:val="00812553"/>
    <w:rsid w:val="008422FD"/>
    <w:rsid w:val="0087514F"/>
    <w:rsid w:val="008C0271"/>
    <w:rsid w:val="008C0488"/>
    <w:rsid w:val="008E75BF"/>
    <w:rsid w:val="00914198"/>
    <w:rsid w:val="00A71032"/>
    <w:rsid w:val="00A94B13"/>
    <w:rsid w:val="00AC3DC3"/>
    <w:rsid w:val="00B1288C"/>
    <w:rsid w:val="00B65401"/>
    <w:rsid w:val="00B66F07"/>
    <w:rsid w:val="00BB753F"/>
    <w:rsid w:val="00BF71B3"/>
    <w:rsid w:val="00C16462"/>
    <w:rsid w:val="00C34BB9"/>
    <w:rsid w:val="00C45268"/>
    <w:rsid w:val="00CB2436"/>
    <w:rsid w:val="00D22867"/>
    <w:rsid w:val="00D77238"/>
    <w:rsid w:val="00DA0F56"/>
    <w:rsid w:val="00DB3BAC"/>
    <w:rsid w:val="00DC2CFB"/>
    <w:rsid w:val="00DC72BF"/>
    <w:rsid w:val="00E03290"/>
    <w:rsid w:val="00E223AD"/>
    <w:rsid w:val="00EA2CE3"/>
    <w:rsid w:val="00EA6BFA"/>
    <w:rsid w:val="00F13EFE"/>
    <w:rsid w:val="00F1495C"/>
    <w:rsid w:val="00FB0E09"/>
    <w:rsid w:val="00FC0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2F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B24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2.0113039050236306E-3"/>
          <c:y val="6.519736089567349E-2"/>
          <c:w val="0.51987576646452294"/>
          <c:h val="0.77981371533296917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январь-сентябрь 2017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190500" h="38100"/>
            </a:sp3d>
          </c:spPr>
          <c:dPt>
            <c:idx val="0"/>
            <c:spPr>
              <a:solidFill>
                <a:srgbClr val="00B0F0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Pt>
            <c:idx val="1"/>
            <c:spPr>
              <a:solidFill>
                <a:schemeClr val="tx1">
                  <a:lumMod val="50000"/>
                  <a:lumOff val="50000"/>
                </a:schemeClr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Pt>
            <c:idx val="2"/>
            <c:spPr>
              <a:solidFill>
                <a:srgbClr val="53DC48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Pt>
            <c:idx val="3"/>
            <c:spPr>
              <a:solidFill>
                <a:srgbClr val="D0D341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Pt>
            <c:idx val="4"/>
            <c:spPr>
              <a:solidFill>
                <a:srgbClr val="9751CB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Pt>
            <c:idx val="5"/>
            <c:spPr>
              <a:solidFill>
                <a:srgbClr val="FF0066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sz="1000"/>
                      <a:t>14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6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000"/>
                      <a:t>50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6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000"/>
                      <a:t>7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0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00"/>
                      <a:t>6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4</a:t>
                    </a:r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1000"/>
                      <a:t>9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7</a:t>
                    </a:r>
                  </a:p>
                </c:rich>
              </c:tx>
              <c:showVal val="1"/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000"/>
                      <a:t>11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7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000" b="1">
                    <a:latin typeface="Monotype Corsiva" pitchFamily="66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Машины и оборудование</c:v>
                </c:pt>
                <c:pt idx="1">
                  <c:v>Нефть и нефтепродукты</c:v>
                </c:pt>
                <c:pt idx="2">
                  <c:v>Продукция химической промышленности</c:v>
                </c:pt>
                <c:pt idx="3">
                  <c:v>Древесина и изделия из нее</c:v>
                </c:pt>
                <c:pt idx="4">
                  <c:v>Металлы и изделия из них</c:v>
                </c:pt>
                <c:pt idx="5">
                  <c:v>Прочие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6"/>
                <c:pt idx="0">
                  <c:v>14.6</c:v>
                </c:pt>
                <c:pt idx="1">
                  <c:v>50.6</c:v>
                </c:pt>
                <c:pt idx="2">
                  <c:v>7</c:v>
                </c:pt>
                <c:pt idx="3">
                  <c:v>6.4</c:v>
                </c:pt>
                <c:pt idx="4">
                  <c:v>9.7000000000000011</c:v>
                </c:pt>
                <c:pt idx="5">
                  <c:v>11.7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январь-сентябрь 2018</c:v>
                </c:pt>
              </c:strCache>
            </c:strRef>
          </c:tx>
          <c:spPr>
            <a:effectLst>
              <a:outerShdw blurRad="50800" dist="38100" dir="5400000" algn="t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balanced" dir="t">
                <a:rot lat="0" lon="0" rev="8700000"/>
              </a:lightRig>
            </a:scene3d>
            <a:sp3d>
              <a:bevelT w="190500" h="38100"/>
            </a:sp3d>
          </c:spPr>
          <c:dPt>
            <c:idx val="0"/>
            <c:spPr>
              <a:solidFill>
                <a:srgbClr val="00B0F0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1"/>
            <c:spPr>
              <a:solidFill>
                <a:schemeClr val="tx1">
                  <a:lumMod val="50000"/>
                  <a:lumOff val="50000"/>
                </a:schemeClr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2"/>
            <c:spPr>
              <a:solidFill>
                <a:srgbClr val="53DC48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3"/>
            <c:spPr>
              <a:solidFill>
                <a:srgbClr val="D0D34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4"/>
            <c:spPr>
              <a:solidFill>
                <a:srgbClr val="9751CB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5"/>
            <c:spPr>
              <a:solidFill>
                <a:srgbClr val="FF0066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sz="1000"/>
                      <a:t>23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2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000"/>
                      <a:t>8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7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000"/>
                      <a:t>6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9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00"/>
                      <a:t>8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9</a:t>
                    </a:r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1000"/>
                      <a:t>20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2</a:t>
                    </a:r>
                  </a:p>
                </c:rich>
              </c:tx>
              <c:showVal val="1"/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000"/>
                      <a:t>32</a:t>
                    </a:r>
                    <a:r>
                      <a:rPr lang="ru-RU" sz="1000"/>
                      <a:t>,1</a:t>
                    </a:r>
                    <a:endParaRPr lang="en-US" sz="100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000" b="1">
                    <a:latin typeface="Monotype Corsiva" pitchFamily="66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Машины и оборудование</c:v>
                </c:pt>
                <c:pt idx="1">
                  <c:v>Нефть и нефтепродукты</c:v>
                </c:pt>
                <c:pt idx="2">
                  <c:v>Продукция химической промышленности</c:v>
                </c:pt>
                <c:pt idx="3">
                  <c:v>Древесина и изделия из нее</c:v>
                </c:pt>
                <c:pt idx="4">
                  <c:v>Металлы и изделия из них</c:v>
                </c:pt>
                <c:pt idx="5">
                  <c:v>Прочие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23.2</c:v>
                </c:pt>
                <c:pt idx="1">
                  <c:v>8.7000000000000011</c:v>
                </c:pt>
                <c:pt idx="2">
                  <c:v>6.9</c:v>
                </c:pt>
                <c:pt idx="3">
                  <c:v>8.9</c:v>
                </c:pt>
                <c:pt idx="4">
                  <c:v>20.2</c:v>
                </c:pt>
                <c:pt idx="5">
                  <c:v>32.1</c:v>
                </c:pt>
              </c:numCache>
            </c:numRef>
          </c:val>
        </c:ser>
        <c:dLbls>
          <c:showVal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54967505420518414"/>
          <c:y val="0.12987534973969839"/>
          <c:w val="0.43595458176423768"/>
          <c:h val="0.68751747615706449"/>
        </c:manualLayout>
      </c:layout>
      <c:txPr>
        <a:bodyPr/>
        <a:lstStyle/>
        <a:p>
          <a:pPr>
            <a:defRPr sz="1200" b="1">
              <a:latin typeface="Monotype Corsiva" pitchFamily="66" charset="0"/>
            </a:defRPr>
          </a:pPr>
          <a:endParaRPr lang="ru-RU"/>
        </a:p>
      </c:txPr>
    </c:legend>
    <c:plotVisOnly val="1"/>
  </c:chart>
  <c:spPr>
    <a:noFill/>
    <a:ln>
      <a:noFill/>
    </a:ln>
    <a:scene3d>
      <a:camera prst="orthographicFront"/>
      <a:lightRig rig="threePt" dir="t"/>
    </a:scene3d>
    <a:sp3d prstMaterial="matte">
      <a:bevelT w="127000" h="63500"/>
    </a:sp3d>
  </c:spPr>
  <c:txPr>
    <a:bodyPr/>
    <a:lstStyle/>
    <a:p>
      <a:pPr>
        <a:defRPr sz="1800"/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2.0113039050236306E-3"/>
          <c:y val="5.9665737659081536E-2"/>
          <c:w val="0.8528641062724307"/>
          <c:h val="0.94033426234091877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январь-сентябрь 2017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190500" h="38100"/>
            </a:sp3d>
          </c:spPr>
          <c:dPt>
            <c:idx val="0"/>
            <c:spPr>
              <a:solidFill>
                <a:srgbClr val="00B0F0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Pt>
            <c:idx val="1"/>
            <c:spPr>
              <a:solidFill>
                <a:srgbClr val="53DC48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Pt>
            <c:idx val="2"/>
            <c:spPr>
              <a:solidFill>
                <a:srgbClr val="D0D341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Pt>
            <c:idx val="3"/>
            <c:spPr>
              <a:solidFill>
                <a:srgbClr val="9751CB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Pt>
            <c:idx val="4"/>
            <c:spPr>
              <a:solidFill>
                <a:srgbClr val="FF0066"/>
              </a:solidFill>
              <a:scene3d>
                <a:camera prst="orthographicFront"/>
                <a:lightRig rig="threePt" dir="t"/>
              </a:scene3d>
              <a:sp3d>
                <a:bevelT w="190500" h="38100"/>
              </a:sp3d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sz="1000"/>
                      <a:t>60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1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000"/>
                      <a:t>8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1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000"/>
                      <a:t>2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2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00"/>
                      <a:t>19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3</a:t>
                    </a:r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1000"/>
                      <a:t>10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3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000" b="1">
                    <a:latin typeface="Monotype Corsiva" pitchFamily="66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Машины и оборудование</c:v>
                </c:pt>
                <c:pt idx="1">
                  <c:v>Продукция химической промышленности</c:v>
                </c:pt>
                <c:pt idx="2">
                  <c:v>Древесина и изделия из нее</c:v>
                </c:pt>
                <c:pt idx="3">
                  <c:v>Металлы и изделия из них</c:v>
                </c:pt>
                <c:pt idx="4">
                  <c:v>Прочие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60.1</c:v>
                </c:pt>
                <c:pt idx="1">
                  <c:v>8.1</c:v>
                </c:pt>
                <c:pt idx="2">
                  <c:v>2.2000000000000002</c:v>
                </c:pt>
                <c:pt idx="3">
                  <c:v>19.3</c:v>
                </c:pt>
                <c:pt idx="4">
                  <c:v>10.3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январь-сентябрь 2018</c:v>
                </c:pt>
              </c:strCache>
            </c:strRef>
          </c:tx>
          <c:spPr>
            <a:effectLst>
              <a:outerShdw blurRad="50800" dist="38100" dir="5400000" algn="t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balanced" dir="t">
                <a:rot lat="0" lon="0" rev="8700000"/>
              </a:lightRig>
            </a:scene3d>
            <a:sp3d>
              <a:bevelT w="190500" h="38100"/>
            </a:sp3d>
          </c:spPr>
          <c:dPt>
            <c:idx val="0"/>
            <c:spPr>
              <a:solidFill>
                <a:srgbClr val="00B0F0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1"/>
            <c:spPr>
              <a:solidFill>
                <a:srgbClr val="53DC48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2"/>
            <c:spPr>
              <a:solidFill>
                <a:srgbClr val="D0D341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3"/>
            <c:spPr>
              <a:solidFill>
                <a:srgbClr val="9751CB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Pt>
            <c:idx val="4"/>
            <c:spPr>
              <a:solidFill>
                <a:srgbClr val="FF0066"/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balanced" dir="t">
                  <a:rot lat="0" lon="0" rev="8700000"/>
                </a:lightRig>
              </a:scene3d>
              <a:sp3d>
                <a:bevelT w="190500" h="38100"/>
              </a:sp3d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sz="1000"/>
                      <a:t>64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8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000"/>
                      <a:t>7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5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000"/>
                      <a:t>1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9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00"/>
                      <a:t>15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7</a:t>
                    </a:r>
                  </a:p>
                </c:rich>
              </c:tx>
              <c:showVal val="1"/>
            </c:dLbl>
            <c:dLbl>
              <c:idx val="4"/>
              <c:layout>
                <c:manualLayout>
                  <c:x val="1.7825311942959002E-2"/>
                  <c:y val="-7.4280408542247182E-3"/>
                </c:manualLayout>
              </c:layout>
              <c:tx>
                <c:rich>
                  <a:bodyPr/>
                  <a:lstStyle/>
                  <a:p>
                    <a:r>
                      <a:rPr lang="en-US" sz="1000"/>
                      <a:t>10</a:t>
                    </a:r>
                    <a:r>
                      <a:rPr lang="ru-RU" sz="1000"/>
                      <a:t>,</a:t>
                    </a:r>
                    <a:r>
                      <a:rPr lang="en-US" sz="1000"/>
                      <a:t>1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000" b="1">
                    <a:latin typeface="Monotype Corsiva" pitchFamily="66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Машины и оборудование</c:v>
                </c:pt>
                <c:pt idx="1">
                  <c:v>Продукция химической промышленности</c:v>
                </c:pt>
                <c:pt idx="2">
                  <c:v>Древесина и изделия из нее</c:v>
                </c:pt>
                <c:pt idx="3">
                  <c:v>Металлы и изделия из них</c:v>
                </c:pt>
                <c:pt idx="4">
                  <c:v>Прочие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64.8</c:v>
                </c:pt>
                <c:pt idx="1">
                  <c:v>7.5</c:v>
                </c:pt>
                <c:pt idx="2">
                  <c:v>1.9000000000000001</c:v>
                </c:pt>
                <c:pt idx="3">
                  <c:v>15.7</c:v>
                </c:pt>
                <c:pt idx="4">
                  <c:v>10.1</c:v>
                </c:pt>
              </c:numCache>
            </c:numRef>
          </c:val>
        </c:ser>
        <c:dLbls>
          <c:showVal val="1"/>
        </c:dLbls>
        <c:firstSliceAng val="0"/>
        <c:holeSize val="50"/>
      </c:doughnutChart>
    </c:plotArea>
    <c:plotVisOnly val="1"/>
  </c:chart>
  <c:spPr>
    <a:noFill/>
    <a:ln>
      <a:noFill/>
    </a:ln>
    <a:scene3d>
      <a:camera prst="orthographicFront"/>
      <a:lightRig rig="threePt" dir="t"/>
    </a:scene3d>
    <a:sp3d prstMaterial="matte">
      <a:bevelT w="127000" h="63500"/>
    </a:sp3d>
  </c:spPr>
  <c:txPr>
    <a:bodyPr/>
    <a:lstStyle/>
    <a:p>
      <a:pPr>
        <a:defRPr sz="1800"/>
      </a:pPr>
      <a:endParaRPr lang="ru-RU"/>
    </a:p>
  </c:tx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0.08696</cdr:x>
      <cdr:y>0.08911</cdr:y>
    </cdr:from>
    <cdr:to>
      <cdr:x>0.43237</cdr:x>
      <cdr:y>0.43234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304802" y="257175"/>
          <a:ext cx="1210732" cy="990601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0.14091</cdr:x>
      <cdr:y>0.1</cdr:y>
    </cdr:from>
    <cdr:to>
      <cdr:x>0.72273</cdr:x>
      <cdr:y>0.50758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310041" y="249555"/>
          <a:ext cx="1280164" cy="1017136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1626F-0DC2-4761-812C-64B285E5F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8</cp:revision>
  <cp:lastPrinted>2018-12-06T06:14:00Z</cp:lastPrinted>
  <dcterms:created xsi:type="dcterms:W3CDTF">2018-12-03T12:46:00Z</dcterms:created>
  <dcterms:modified xsi:type="dcterms:W3CDTF">2018-12-10T04:13:00Z</dcterms:modified>
</cp:coreProperties>
</file>